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63"/>
        <w:gridCol w:w="5641"/>
        <w:gridCol w:w="2286"/>
      </w:tblGrid>
      <w:tr w:rsidR="00BF0F6F" w:rsidTr="004039A6">
        <w:trPr>
          <w:trHeight w:val="1478"/>
          <w:jc w:val="center"/>
        </w:trPr>
        <w:tc>
          <w:tcPr>
            <w:tcW w:w="1363" w:type="dxa"/>
            <w:vAlign w:val="center"/>
          </w:tcPr>
          <w:p w:rsidR="00BF0F6F" w:rsidRDefault="000753F3" w:rsidP="00D758D5">
            <w:pPr>
              <w:pStyle w:val="TituloDissertacao"/>
              <w:autoSpaceDE/>
              <w:autoSpaceDN/>
              <w:adjustRightInd/>
              <w:spacing w:before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0" allowOverlap="1" wp14:anchorId="638A1C66" wp14:editId="44705E4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-132080</wp:posOffset>
                  </wp:positionV>
                  <wp:extent cx="791845" cy="827405"/>
                  <wp:effectExtent l="0" t="0" r="8255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1" w:type="dxa"/>
            <w:vAlign w:val="center"/>
          </w:tcPr>
          <w:p w:rsidR="00BF0F6F" w:rsidRPr="004039A6" w:rsidRDefault="00BF0F6F" w:rsidP="00D758D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039A6">
              <w:rPr>
                <w:rFonts w:ascii="Arial" w:hAnsi="Arial" w:cs="Arial"/>
                <w:b/>
                <w:bCs/>
                <w:sz w:val="22"/>
                <w:szCs w:val="20"/>
              </w:rPr>
              <w:t>Ministério da Educação</w:t>
            </w:r>
          </w:p>
          <w:p w:rsidR="00BF0F6F" w:rsidRPr="004039A6" w:rsidRDefault="00BF0F6F" w:rsidP="00D758D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4039A6">
              <w:rPr>
                <w:rFonts w:ascii="Arial" w:hAnsi="Arial" w:cs="Arial"/>
                <w:b/>
                <w:sz w:val="22"/>
                <w:szCs w:val="20"/>
              </w:rPr>
              <w:t>Universidade Tecnológica Federal do Paraná</w:t>
            </w:r>
          </w:p>
          <w:p w:rsidR="004C6AF5" w:rsidRPr="004039A6" w:rsidRDefault="00DD5105" w:rsidP="00D758D5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iCs/>
                <w:sz w:val="22"/>
                <w:szCs w:val="20"/>
              </w:rPr>
            </w:pPr>
            <w:r w:rsidRPr="004039A6">
              <w:rPr>
                <w:rFonts w:ascii="Arial" w:hAnsi="Arial" w:cs="Arial"/>
                <w:iCs/>
                <w:sz w:val="22"/>
                <w:szCs w:val="20"/>
              </w:rPr>
              <w:t>Pró-Reitoria de Pesquisa e Pós-Graduação</w:t>
            </w:r>
          </w:p>
          <w:p w:rsidR="004F3DDE" w:rsidRPr="004039A6" w:rsidRDefault="00DD5105" w:rsidP="004F3DDE">
            <w:pPr>
              <w:tabs>
                <w:tab w:val="left" w:pos="-478"/>
              </w:tabs>
              <w:ind w:left="-1363" w:right="-592" w:firstLine="885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039A6">
              <w:rPr>
                <w:rFonts w:ascii="Arial" w:hAnsi="Arial" w:cs="Arial"/>
                <w:sz w:val="22"/>
                <w:szCs w:val="20"/>
              </w:rPr>
              <w:t>Coordenação Lato Sensu</w:t>
            </w:r>
          </w:p>
          <w:p w:rsidR="00BF0F6F" w:rsidRDefault="004F3DDE" w:rsidP="004F3DDE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86" w:type="dxa"/>
            <w:vAlign w:val="center"/>
          </w:tcPr>
          <w:p w:rsidR="00BF0F6F" w:rsidRDefault="000753F3" w:rsidP="002D0BA0">
            <w:pPr>
              <w:pStyle w:val="TituloDissertacao"/>
              <w:autoSpaceDE/>
              <w:autoSpaceDN/>
              <w:adjustRightInd/>
              <w:spacing w:before="0" w:line="240" w:lineRule="auto"/>
              <w:ind w:left="-365" w:right="-284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5DCC9D1" wp14:editId="2237277A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-379095</wp:posOffset>
                  </wp:positionV>
                  <wp:extent cx="1282065" cy="543560"/>
                  <wp:effectExtent l="0" t="0" r="0" b="8890"/>
                  <wp:wrapNone/>
                  <wp:docPr id="2" name="Imagem 3" descr="logoUtf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Utf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D5105" w:rsidRPr="00373988" w:rsidRDefault="00DD5105" w:rsidP="00D758D5">
      <w:pPr>
        <w:pStyle w:val="Ttulo"/>
        <w:rPr>
          <w:rFonts w:ascii="Arial" w:hAnsi="Arial" w:cs="Arial"/>
          <w:b/>
          <w:sz w:val="24"/>
          <w:szCs w:val="28"/>
        </w:rPr>
      </w:pPr>
      <w:r w:rsidRPr="00373988">
        <w:rPr>
          <w:rFonts w:ascii="Arial" w:hAnsi="Arial" w:cs="Arial"/>
          <w:b/>
          <w:sz w:val="22"/>
          <w:szCs w:val="28"/>
        </w:rPr>
        <w:t xml:space="preserve">CHECK LIST PARA </w:t>
      </w:r>
      <w:r w:rsidR="008343B8" w:rsidRPr="00373988">
        <w:rPr>
          <w:rFonts w:ascii="Arial" w:hAnsi="Arial" w:cs="Arial"/>
          <w:b/>
          <w:sz w:val="22"/>
          <w:szCs w:val="28"/>
        </w:rPr>
        <w:t>AUX</w:t>
      </w:r>
      <w:r w:rsidR="00D1009A" w:rsidRPr="00373988">
        <w:rPr>
          <w:rFonts w:ascii="Arial" w:hAnsi="Arial" w:cs="Arial"/>
          <w:b/>
          <w:sz w:val="22"/>
          <w:szCs w:val="28"/>
        </w:rPr>
        <w:t>I</w:t>
      </w:r>
      <w:r w:rsidR="008343B8" w:rsidRPr="00373988">
        <w:rPr>
          <w:rFonts w:ascii="Arial" w:hAnsi="Arial" w:cs="Arial"/>
          <w:b/>
          <w:sz w:val="22"/>
          <w:szCs w:val="28"/>
        </w:rPr>
        <w:t xml:space="preserve">LIAR </w:t>
      </w:r>
      <w:r w:rsidR="00886FA0" w:rsidRPr="00373988">
        <w:rPr>
          <w:rFonts w:ascii="Arial" w:hAnsi="Arial" w:cs="Arial"/>
          <w:b/>
          <w:sz w:val="22"/>
          <w:szCs w:val="28"/>
        </w:rPr>
        <w:t>OS CONSELHEIROS N</w:t>
      </w:r>
      <w:r w:rsidR="008343B8" w:rsidRPr="00373988">
        <w:rPr>
          <w:rFonts w:ascii="Arial" w:hAnsi="Arial" w:cs="Arial"/>
          <w:b/>
          <w:sz w:val="22"/>
          <w:szCs w:val="28"/>
        </w:rPr>
        <w:t xml:space="preserve">A </w:t>
      </w:r>
      <w:r w:rsidRPr="00373988">
        <w:rPr>
          <w:rFonts w:ascii="Arial" w:hAnsi="Arial" w:cs="Arial"/>
          <w:b/>
          <w:sz w:val="22"/>
          <w:szCs w:val="28"/>
        </w:rPr>
        <w:t>AVALIAÇÃO DE PR</w:t>
      </w:r>
      <w:r w:rsidR="00D1009A" w:rsidRPr="00373988">
        <w:rPr>
          <w:rFonts w:ascii="Arial" w:hAnsi="Arial" w:cs="Arial"/>
          <w:b/>
          <w:sz w:val="22"/>
          <w:szCs w:val="28"/>
        </w:rPr>
        <w:t>O</w:t>
      </w:r>
      <w:r w:rsidRPr="00373988">
        <w:rPr>
          <w:rFonts w:ascii="Arial" w:hAnsi="Arial" w:cs="Arial"/>
          <w:b/>
          <w:sz w:val="22"/>
          <w:szCs w:val="28"/>
        </w:rPr>
        <w:t xml:space="preserve">JETOS DE ABERTURA DE </w:t>
      </w:r>
      <w:r w:rsidR="00886FA0" w:rsidRPr="00373988">
        <w:rPr>
          <w:rFonts w:ascii="Arial" w:hAnsi="Arial" w:cs="Arial"/>
          <w:b/>
          <w:sz w:val="22"/>
          <w:szCs w:val="28"/>
        </w:rPr>
        <w:t>CURSO</w:t>
      </w:r>
      <w:r w:rsidRPr="00373988">
        <w:rPr>
          <w:rFonts w:ascii="Arial" w:hAnsi="Arial" w:cs="Arial"/>
          <w:b/>
          <w:sz w:val="22"/>
          <w:szCs w:val="28"/>
        </w:rPr>
        <w:t>S DE ESPECIALIZAÇÃO NO COPPG</w:t>
      </w:r>
    </w:p>
    <w:p w:rsidR="00DD5105" w:rsidRDefault="00DD5105" w:rsidP="008343B8">
      <w:pPr>
        <w:pStyle w:val="Ttulo"/>
        <w:jc w:val="both"/>
        <w:rPr>
          <w:sz w:val="10"/>
          <w:szCs w:val="24"/>
        </w:rPr>
      </w:pPr>
    </w:p>
    <w:p w:rsidR="004039A6" w:rsidRPr="004039A6" w:rsidRDefault="004039A6" w:rsidP="008343B8">
      <w:pPr>
        <w:pStyle w:val="Ttulo"/>
        <w:jc w:val="both"/>
        <w:rPr>
          <w:sz w:val="10"/>
          <w:szCs w:val="24"/>
        </w:rPr>
      </w:pPr>
    </w:p>
    <w:p w:rsidR="00DD5105" w:rsidRPr="004039A6" w:rsidRDefault="00D1009A" w:rsidP="00EF4504">
      <w:pPr>
        <w:pStyle w:val="Ttulo"/>
        <w:jc w:val="both"/>
        <w:rPr>
          <w:sz w:val="22"/>
          <w:szCs w:val="23"/>
        </w:rPr>
      </w:pPr>
      <w:r w:rsidRPr="004039A6">
        <w:rPr>
          <w:sz w:val="22"/>
          <w:szCs w:val="23"/>
        </w:rPr>
        <w:t xml:space="preserve">O </w:t>
      </w:r>
      <w:r w:rsidRPr="004039A6">
        <w:rPr>
          <w:i/>
          <w:sz w:val="22"/>
          <w:szCs w:val="23"/>
        </w:rPr>
        <w:t>check list</w:t>
      </w:r>
      <w:r w:rsidRPr="004039A6">
        <w:rPr>
          <w:sz w:val="22"/>
          <w:szCs w:val="23"/>
        </w:rPr>
        <w:t xml:space="preserve"> abaixo apresenta os p</w:t>
      </w:r>
      <w:r w:rsidR="00DD5105" w:rsidRPr="004039A6">
        <w:rPr>
          <w:sz w:val="22"/>
          <w:szCs w:val="23"/>
        </w:rPr>
        <w:t xml:space="preserve">rincipais itens a </w:t>
      </w:r>
      <w:r w:rsidRPr="004039A6">
        <w:rPr>
          <w:sz w:val="22"/>
          <w:szCs w:val="23"/>
        </w:rPr>
        <w:t xml:space="preserve">serem </w:t>
      </w:r>
      <w:r w:rsidR="00DD5105" w:rsidRPr="004039A6">
        <w:rPr>
          <w:sz w:val="22"/>
          <w:szCs w:val="23"/>
        </w:rPr>
        <w:t>verifica</w:t>
      </w:r>
      <w:r w:rsidRPr="004039A6">
        <w:rPr>
          <w:sz w:val="22"/>
          <w:szCs w:val="23"/>
        </w:rPr>
        <w:t xml:space="preserve">dos nos </w:t>
      </w:r>
      <w:r w:rsidR="00886FA0" w:rsidRPr="004039A6">
        <w:rPr>
          <w:sz w:val="22"/>
          <w:szCs w:val="23"/>
        </w:rPr>
        <w:t>P</w:t>
      </w:r>
      <w:r w:rsidRPr="004039A6">
        <w:rPr>
          <w:sz w:val="22"/>
          <w:szCs w:val="23"/>
        </w:rPr>
        <w:t xml:space="preserve">rojetos de </w:t>
      </w:r>
      <w:r w:rsidR="00886FA0" w:rsidRPr="004039A6">
        <w:rPr>
          <w:sz w:val="22"/>
          <w:szCs w:val="23"/>
        </w:rPr>
        <w:t>A</w:t>
      </w:r>
      <w:r w:rsidRPr="004039A6">
        <w:rPr>
          <w:sz w:val="22"/>
          <w:szCs w:val="23"/>
        </w:rPr>
        <w:t xml:space="preserve">bertura de </w:t>
      </w:r>
      <w:r w:rsidR="00886FA0" w:rsidRPr="004039A6">
        <w:rPr>
          <w:sz w:val="22"/>
          <w:szCs w:val="23"/>
        </w:rPr>
        <w:t>Curso</w:t>
      </w:r>
      <w:r w:rsidRPr="004039A6">
        <w:rPr>
          <w:sz w:val="22"/>
          <w:szCs w:val="23"/>
        </w:rPr>
        <w:t xml:space="preserve">s de </w:t>
      </w:r>
      <w:r w:rsidR="00886FA0" w:rsidRPr="004039A6">
        <w:rPr>
          <w:sz w:val="22"/>
          <w:szCs w:val="23"/>
        </w:rPr>
        <w:t>E</w:t>
      </w:r>
      <w:r w:rsidRPr="004039A6">
        <w:rPr>
          <w:sz w:val="22"/>
          <w:szCs w:val="23"/>
        </w:rPr>
        <w:t>specialização</w:t>
      </w:r>
      <w:r w:rsidR="00DD5105" w:rsidRPr="004039A6">
        <w:rPr>
          <w:sz w:val="22"/>
          <w:szCs w:val="23"/>
        </w:rPr>
        <w:t>, de acordo com o R</w:t>
      </w:r>
      <w:r w:rsidRPr="004039A6">
        <w:rPr>
          <w:sz w:val="22"/>
          <w:szCs w:val="23"/>
        </w:rPr>
        <w:t xml:space="preserve">egulamento da Organização Didático-Pedagógica dos </w:t>
      </w:r>
      <w:r w:rsidR="00886FA0" w:rsidRPr="004039A6">
        <w:rPr>
          <w:sz w:val="22"/>
          <w:szCs w:val="23"/>
        </w:rPr>
        <w:t>Curso</w:t>
      </w:r>
      <w:r w:rsidRPr="004039A6">
        <w:rPr>
          <w:sz w:val="22"/>
          <w:szCs w:val="23"/>
        </w:rPr>
        <w:t xml:space="preserve">s de Pós-Graduação </w:t>
      </w:r>
      <w:r w:rsidRPr="004039A6">
        <w:rPr>
          <w:i/>
          <w:sz w:val="22"/>
          <w:szCs w:val="23"/>
        </w:rPr>
        <w:t>Lato Sensu</w:t>
      </w:r>
      <w:r w:rsidRPr="004039A6">
        <w:rPr>
          <w:sz w:val="22"/>
          <w:szCs w:val="23"/>
        </w:rPr>
        <w:t xml:space="preserve"> da UTFPR</w:t>
      </w:r>
      <w:r w:rsidR="00DD5105" w:rsidRPr="004039A6">
        <w:rPr>
          <w:sz w:val="22"/>
          <w:szCs w:val="23"/>
        </w:rPr>
        <w:t xml:space="preserve"> (Resolução </w:t>
      </w:r>
      <w:r w:rsidR="004B0FCD">
        <w:rPr>
          <w:sz w:val="22"/>
          <w:szCs w:val="23"/>
        </w:rPr>
        <w:t>0</w:t>
      </w:r>
      <w:r w:rsidR="007108F9">
        <w:rPr>
          <w:sz w:val="22"/>
          <w:szCs w:val="23"/>
        </w:rPr>
        <w:t>33</w:t>
      </w:r>
      <w:r w:rsidR="00DD5105" w:rsidRPr="004039A6">
        <w:rPr>
          <w:sz w:val="22"/>
          <w:szCs w:val="23"/>
        </w:rPr>
        <w:t>/201</w:t>
      </w:r>
      <w:r w:rsidR="007108F9">
        <w:rPr>
          <w:sz w:val="22"/>
          <w:szCs w:val="23"/>
        </w:rPr>
        <w:t>9</w:t>
      </w:r>
      <w:r w:rsidR="00DD5105" w:rsidRPr="004039A6">
        <w:rPr>
          <w:sz w:val="22"/>
          <w:szCs w:val="23"/>
        </w:rPr>
        <w:t>-COPPG)</w:t>
      </w:r>
      <w:r w:rsidRPr="004039A6">
        <w:rPr>
          <w:sz w:val="22"/>
          <w:szCs w:val="23"/>
        </w:rPr>
        <w:t>.</w:t>
      </w:r>
    </w:p>
    <w:p w:rsidR="00380DF1" w:rsidRDefault="00380DF1" w:rsidP="008343B8">
      <w:pPr>
        <w:pStyle w:val="Ttulo"/>
        <w:jc w:val="both"/>
        <w:rPr>
          <w:sz w:val="10"/>
          <w:szCs w:val="24"/>
        </w:rPr>
      </w:pPr>
    </w:p>
    <w:p w:rsidR="004039A6" w:rsidRPr="004039A6" w:rsidRDefault="004039A6" w:rsidP="008343B8">
      <w:pPr>
        <w:pStyle w:val="Ttulo"/>
        <w:jc w:val="both"/>
        <w:rPr>
          <w:sz w:val="10"/>
          <w:szCs w:val="24"/>
        </w:rPr>
      </w:pPr>
    </w:p>
    <w:tbl>
      <w:tblPr>
        <w:tblStyle w:val="Tabelacomgrade"/>
        <w:tblW w:w="113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417"/>
        <w:gridCol w:w="6804"/>
        <w:gridCol w:w="1188"/>
        <w:gridCol w:w="1189"/>
      </w:tblGrid>
      <w:tr w:rsidR="007108F9" w:rsidRPr="009E26C4" w:rsidTr="007108F9">
        <w:tc>
          <w:tcPr>
            <w:tcW w:w="737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b/>
                <w:sz w:val="18"/>
                <w:szCs w:val="18"/>
              </w:rPr>
            </w:pPr>
            <w:r w:rsidRPr="007108F9">
              <w:rPr>
                <w:b/>
                <w:sz w:val="18"/>
                <w:szCs w:val="18"/>
              </w:rPr>
              <w:t>Artigo/Item do Regulamento</w:t>
            </w:r>
          </w:p>
        </w:tc>
        <w:tc>
          <w:tcPr>
            <w:tcW w:w="6804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Descrição</w:t>
            </w:r>
          </w:p>
        </w:tc>
        <w:tc>
          <w:tcPr>
            <w:tcW w:w="1188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:rsidR="007108F9" w:rsidRPr="009E26C4" w:rsidRDefault="007108F9" w:rsidP="007108F9">
            <w:pPr>
              <w:pStyle w:val="Ttulo"/>
              <w:rPr>
                <w:b/>
                <w:sz w:val="18"/>
                <w:szCs w:val="22"/>
              </w:rPr>
            </w:pPr>
            <w:r w:rsidRPr="009E26C4">
              <w:rPr>
                <w:b/>
                <w:sz w:val="18"/>
                <w:szCs w:val="22"/>
              </w:rPr>
              <w:t>Atende</w:t>
            </w:r>
          </w:p>
        </w:tc>
        <w:tc>
          <w:tcPr>
            <w:tcW w:w="1189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:rsidR="007108F9" w:rsidRPr="009E26C4" w:rsidRDefault="007108F9" w:rsidP="007108F9">
            <w:pPr>
              <w:pStyle w:val="Ttulo"/>
              <w:rPr>
                <w:b/>
                <w:sz w:val="18"/>
                <w:szCs w:val="22"/>
              </w:rPr>
            </w:pPr>
            <w:r w:rsidRPr="009E26C4">
              <w:rPr>
                <w:b/>
                <w:sz w:val="18"/>
                <w:szCs w:val="22"/>
              </w:rPr>
              <w:t>Não Atende</w:t>
            </w:r>
          </w:p>
        </w:tc>
      </w:tr>
      <w:tr w:rsidR="007108F9" w:rsidRPr="004039A6" w:rsidTr="007108F9">
        <w:tc>
          <w:tcPr>
            <w:tcW w:w="11335" w:type="dxa"/>
            <w:gridSpan w:val="5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CA113C">
              <w:rPr>
                <w:sz w:val="18"/>
                <w:szCs w:val="18"/>
              </w:rPr>
              <w:t>Art. 4º.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O Projeto Pedagógico de Curso (PPC) deve ser elaborado em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conformidade com este regulamento.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9D2066">
              <w:rPr>
                <w:sz w:val="18"/>
                <w:szCs w:val="18"/>
              </w:rPr>
              <w:t>Art. 4º. §1º.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No PPC devem ser descritos, no mínimo: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i. Justificativa;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ii. Objetivo;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iii. Público-alvo;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iv. Critério de seleção;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v. Processos de avaliação da aprendizagem dos estudantes;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vi. Matriz curricular;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 xml:space="preserve">vii. Corpo docente, devidamente qualificado com o resumo do </w:t>
            </w:r>
            <w:r w:rsidRPr="007108F9">
              <w:rPr>
                <w:sz w:val="18"/>
                <w:szCs w:val="18"/>
              </w:rPr>
              <w:t>Currículo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 xml:space="preserve">Lattes dos docentes, atualizado nos últimos </w:t>
            </w:r>
            <w:r w:rsidRPr="007108F9">
              <w:rPr>
                <w:b/>
                <w:sz w:val="18"/>
                <w:szCs w:val="18"/>
              </w:rPr>
              <w:t>12 meses</w:t>
            </w:r>
            <w:r w:rsidRPr="00CC182F">
              <w:rPr>
                <w:sz w:val="18"/>
                <w:szCs w:val="18"/>
              </w:rPr>
              <w:t>;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 xml:space="preserve">viii. Cronograma de execução genérico, </w:t>
            </w:r>
            <w:r w:rsidRPr="007108F9">
              <w:rPr>
                <w:b/>
                <w:sz w:val="18"/>
                <w:szCs w:val="18"/>
              </w:rPr>
              <w:t>sem especificar datas</w:t>
            </w:r>
            <w:r w:rsidRPr="00CC182F">
              <w:rPr>
                <w:sz w:val="18"/>
                <w:szCs w:val="18"/>
              </w:rPr>
              <w:t>, em que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seja demonstrada a distribuição e ordem das disciplinas.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9D2066">
              <w:rPr>
                <w:sz w:val="18"/>
                <w:szCs w:val="18"/>
              </w:rPr>
              <w:t>Art. 4º. §2º.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 xml:space="preserve">A matriz curricular citada na alínea vi do §1º, deve respeitar a </w:t>
            </w:r>
            <w:r w:rsidRPr="007108F9">
              <w:rPr>
                <w:b/>
                <w:sz w:val="18"/>
                <w:szCs w:val="18"/>
              </w:rPr>
              <w:t>carga</w:t>
            </w:r>
            <w:r w:rsidRPr="007108F9">
              <w:rPr>
                <w:b/>
                <w:sz w:val="18"/>
                <w:szCs w:val="18"/>
              </w:rPr>
              <w:t xml:space="preserve"> </w:t>
            </w:r>
            <w:r w:rsidRPr="007108F9">
              <w:rPr>
                <w:b/>
                <w:sz w:val="18"/>
                <w:szCs w:val="18"/>
              </w:rPr>
              <w:t>horária mínima de 360 (trezentos e sessenta) horas</w:t>
            </w:r>
            <w:r w:rsidRPr="00CC182F">
              <w:rPr>
                <w:sz w:val="18"/>
                <w:szCs w:val="18"/>
              </w:rPr>
              <w:t xml:space="preserve"> e conter as disciplinas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ou atividades de aprendizagem e o respectivo plano de curso no qual deve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ser descrito: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i. Objetivo;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ii. Programa;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iii. Metodologias de ensino aprendizagem;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iv. Previsão de trabalhos discentes;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v. Forma de avaliação;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vi. Bibliografia atualizada.</w:t>
            </w:r>
            <w:r>
              <w:rPr>
                <w:sz w:val="18"/>
                <w:szCs w:val="18"/>
              </w:rPr>
              <w:t xml:space="preserve"> </w:t>
            </w:r>
            <w:r w:rsidRPr="007108F9">
              <w:rPr>
                <w:b/>
                <w:sz w:val="18"/>
                <w:szCs w:val="18"/>
              </w:rPr>
              <w:t>(últimos 5 anos – Consulta ao Bibliotec – Justificativa nos casos de bibliografias clássicas ou consideradas seminais)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9D2066">
              <w:rPr>
                <w:sz w:val="18"/>
                <w:szCs w:val="18"/>
              </w:rPr>
              <w:t>Art. 4º. §</w:t>
            </w:r>
            <w:r>
              <w:rPr>
                <w:sz w:val="18"/>
                <w:szCs w:val="18"/>
              </w:rPr>
              <w:t>3</w:t>
            </w:r>
            <w:r w:rsidRPr="009D2066">
              <w:rPr>
                <w:sz w:val="18"/>
                <w:szCs w:val="18"/>
              </w:rPr>
              <w:t>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§3º. As disciplinas presentes na matriz curricular do curso podem ser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ofertadas de forma isolada visando à qualificação de profissionais,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respeitando o Regulamento de Cursos de Extensão da UTFPR</w:t>
            </w:r>
            <w:r w:rsidRPr="007108F9">
              <w:rPr>
                <w:sz w:val="18"/>
                <w:szCs w:val="18"/>
              </w:rPr>
              <w:t>.</w:t>
            </w:r>
            <w:r w:rsidRPr="007108F9">
              <w:rPr>
                <w:sz w:val="18"/>
                <w:szCs w:val="18"/>
              </w:rPr>
              <w:t xml:space="preserve"> (Conforme regulamento dos Cursos de Extensão a oferta só é possível se constar do PPC, porém há a opção pelo proponente de não se ofertar disciplinas como Extensão)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9D2066">
              <w:rPr>
                <w:sz w:val="18"/>
                <w:szCs w:val="18"/>
              </w:rPr>
              <w:t>Art. 4º. §</w:t>
            </w:r>
            <w:r>
              <w:rPr>
                <w:sz w:val="18"/>
                <w:szCs w:val="18"/>
              </w:rPr>
              <w:t>4</w:t>
            </w:r>
            <w:r w:rsidRPr="009D2066">
              <w:rPr>
                <w:sz w:val="18"/>
                <w:szCs w:val="18"/>
              </w:rPr>
              <w:t>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§4º. Deverão estar anexos ao PPC os seguintes documentos: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i. Aprovação do Colegiado do curso de graduação ou Stricto Sensu ou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do Conselho do departamento acadêmico associado à proposta;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ii. Anuência e concordância de participação do corpo docente;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iii. Ciência da chefia imediata do corpo docente pertencente à UTFPR;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iv. Cópia do certificado ou diploma de maior grau dos docentes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externos;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v. Conferência da Diretoria de Pesquisa e Pós-Graduação dos anexos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citados nos itens i a iv do presente parágrafo.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9D2066">
              <w:rPr>
                <w:sz w:val="18"/>
                <w:szCs w:val="18"/>
              </w:rPr>
              <w:t xml:space="preserve">Art. 4º. </w:t>
            </w:r>
            <w:r w:rsidRPr="00DB740C">
              <w:rPr>
                <w:sz w:val="18"/>
                <w:szCs w:val="18"/>
              </w:rPr>
              <w:t>§5º.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r w:rsidRPr="009D2066">
              <w:rPr>
                <w:sz w:val="18"/>
                <w:szCs w:val="18"/>
              </w:rPr>
              <w:t xml:space="preserve">Projeto Pedagógico de Curso </w:t>
            </w:r>
            <w:r>
              <w:rPr>
                <w:sz w:val="18"/>
                <w:szCs w:val="18"/>
              </w:rPr>
              <w:t xml:space="preserve">informa se haverá ou não </w:t>
            </w:r>
            <w:r w:rsidRPr="00DB740C">
              <w:rPr>
                <w:sz w:val="18"/>
                <w:szCs w:val="18"/>
              </w:rPr>
              <w:t>disciplina</w:t>
            </w:r>
            <w:r>
              <w:rPr>
                <w:sz w:val="18"/>
                <w:szCs w:val="18"/>
              </w:rPr>
              <w:t>s</w:t>
            </w:r>
            <w:r w:rsidRPr="00DB740C">
              <w:rPr>
                <w:sz w:val="18"/>
                <w:szCs w:val="18"/>
              </w:rPr>
              <w:t xml:space="preserve"> ofertada</w:t>
            </w:r>
            <w:r>
              <w:rPr>
                <w:sz w:val="18"/>
                <w:szCs w:val="18"/>
              </w:rPr>
              <w:t>s</w:t>
            </w:r>
            <w:r w:rsidRPr="00DB740C">
              <w:rPr>
                <w:sz w:val="18"/>
                <w:szCs w:val="18"/>
              </w:rPr>
              <w:t xml:space="preserve"> de forma isolada visando à qualificação de profissiona</w:t>
            </w:r>
            <w:r>
              <w:rPr>
                <w:sz w:val="18"/>
                <w:szCs w:val="18"/>
              </w:rPr>
              <w:t>l</w:t>
            </w:r>
            <w:r w:rsidRPr="00DB740C"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16.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A113C">
              <w:rPr>
                <w:sz w:val="18"/>
                <w:szCs w:val="18"/>
              </w:rPr>
              <w:t xml:space="preserve">O PPC deve prever </w:t>
            </w:r>
            <w:r w:rsidRPr="007108F9">
              <w:rPr>
                <w:b/>
                <w:sz w:val="18"/>
                <w:szCs w:val="18"/>
              </w:rPr>
              <w:t>10% (dez por cento) de vagas adicionais</w:t>
            </w:r>
            <w:r w:rsidRPr="00CA11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CA113C">
              <w:rPr>
                <w:sz w:val="18"/>
                <w:szCs w:val="18"/>
              </w:rPr>
              <w:t>disponibilizadas em cada edital de seleção, para possibilitar a capacitação de</w:t>
            </w:r>
            <w:r>
              <w:rPr>
                <w:sz w:val="18"/>
                <w:szCs w:val="18"/>
              </w:rPr>
              <w:t xml:space="preserve"> </w:t>
            </w:r>
            <w:r w:rsidRPr="00CA113C">
              <w:rPr>
                <w:sz w:val="18"/>
                <w:szCs w:val="18"/>
              </w:rPr>
              <w:t>servidores, conforme política institucional.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16.</w:t>
            </w:r>
            <w:r w:rsidRPr="009D2066">
              <w:rPr>
                <w:sz w:val="18"/>
                <w:szCs w:val="18"/>
              </w:rPr>
              <w:t xml:space="preserve"> </w:t>
            </w:r>
            <w:r w:rsidRPr="009D2066">
              <w:rPr>
                <w:sz w:val="18"/>
                <w:szCs w:val="18"/>
              </w:rPr>
              <w:t>. §1º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A113C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A113C">
              <w:rPr>
                <w:sz w:val="18"/>
                <w:szCs w:val="18"/>
              </w:rPr>
              <w:t>Não existindo demanda, as vagas remanescentes poderão ser</w:t>
            </w:r>
            <w:r>
              <w:rPr>
                <w:sz w:val="18"/>
                <w:szCs w:val="18"/>
              </w:rPr>
              <w:t xml:space="preserve"> </w:t>
            </w:r>
            <w:r w:rsidRPr="00CA113C">
              <w:rPr>
                <w:sz w:val="18"/>
                <w:szCs w:val="18"/>
              </w:rPr>
              <w:t>ofertadas para a lista de espera de alunos externos e/ou para valorização de</w:t>
            </w:r>
            <w:r>
              <w:rPr>
                <w:sz w:val="18"/>
                <w:szCs w:val="18"/>
              </w:rPr>
              <w:t xml:space="preserve"> </w:t>
            </w:r>
            <w:r w:rsidRPr="00CA113C">
              <w:rPr>
                <w:sz w:val="18"/>
                <w:szCs w:val="18"/>
              </w:rPr>
              <w:t>egressos de cursos de graduação da UTFPR;</w:t>
            </w:r>
          </w:p>
          <w:p w:rsidR="007108F9" w:rsidRPr="00CA113C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16.</w:t>
            </w:r>
            <w:r w:rsidRPr="009D20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 §2</w:t>
            </w:r>
            <w:r w:rsidRPr="009D2066">
              <w:rPr>
                <w:sz w:val="18"/>
                <w:szCs w:val="18"/>
              </w:rPr>
              <w:t>º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CA113C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A113C">
              <w:rPr>
                <w:sz w:val="18"/>
                <w:szCs w:val="18"/>
              </w:rPr>
              <w:t>Persistindo a inexistência de demanda, as vagas remanescentes</w:t>
            </w:r>
            <w:r>
              <w:rPr>
                <w:sz w:val="18"/>
                <w:szCs w:val="18"/>
              </w:rPr>
              <w:t xml:space="preserve"> </w:t>
            </w:r>
            <w:r w:rsidRPr="00CA113C">
              <w:rPr>
                <w:sz w:val="18"/>
                <w:szCs w:val="18"/>
              </w:rPr>
              <w:t>poderão ser ofertadas para a lista de espera de alunos externos.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7923C6" w:rsidTr="007108F9">
        <w:tc>
          <w:tcPr>
            <w:tcW w:w="11335" w:type="dxa"/>
            <w:gridSpan w:val="5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>Art. 6º.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A coordenação do curso deve ser exercida por um servidor do quadro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efetivo da UTFPR com titulação mínima de Mestre.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rPr>
          <w:trHeight w:val="786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7</w:t>
            </w:r>
            <w:r w:rsidRPr="007923C6">
              <w:rPr>
                <w:sz w:val="18"/>
                <w:szCs w:val="18"/>
              </w:rPr>
              <w:t>º.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As turmas do curso poderão contar com uma secretaria, desde que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indicado no PPC, que será exercida por servidor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(a) pertencente ao quadro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efetivo de servidores técnico-administrativos da UTFPR e atuará no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assessoramento administrativo da coordenação.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rPr>
          <w:trHeight w:val="13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923C6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7</w:t>
            </w:r>
            <w:r w:rsidRPr="007923C6">
              <w:rPr>
                <w:sz w:val="18"/>
                <w:szCs w:val="18"/>
              </w:rPr>
              <w:t>º.</w:t>
            </w:r>
            <w:r w:rsidRPr="00CC182F"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Parágrafo Único.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CC182F">
              <w:rPr>
                <w:sz w:val="18"/>
                <w:szCs w:val="18"/>
              </w:rPr>
              <w:t>O servidor ou servidora que ocupar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a função de secretaria,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cadastrado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(a) no banco de servidores técnico-administrativos capacitados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para a função,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será indicado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pela coordenação do curso e deverá respeitar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as disposições do presente regulamento e demais normas internas da</w:t>
            </w:r>
            <w:r>
              <w:rPr>
                <w:sz w:val="18"/>
                <w:szCs w:val="18"/>
              </w:rPr>
              <w:t xml:space="preserve"> </w:t>
            </w:r>
            <w:r w:rsidRPr="00CC182F">
              <w:rPr>
                <w:sz w:val="18"/>
                <w:szCs w:val="18"/>
              </w:rPr>
              <w:t>UTFPR.</w:t>
            </w:r>
          </w:p>
          <w:p w:rsidR="007108F9" w:rsidRPr="00CC182F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9D2066" w:rsidRDefault="007108F9" w:rsidP="007108F9">
            <w:pPr>
              <w:pStyle w:val="Ttulo"/>
              <w:rPr>
                <w:sz w:val="18"/>
                <w:szCs w:val="18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923C6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8</w:t>
            </w:r>
            <w:r w:rsidRPr="007923C6">
              <w:rPr>
                <w:sz w:val="18"/>
                <w:szCs w:val="18"/>
              </w:rPr>
              <w:t>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As turmas do curso poderão ter, desde que previsto em seu PPC, a(s)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seguinte(s) função(ões):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i. Servidores responsáveis pelo apoio técnico, oriundos do quadro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efetivo de servidores-técnico administrativos da UTFPR;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ii. Estagiários vinculados à área de formação do curso;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iii. Tutores, no caso de cursos na modalidade à distância.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Parágrafo Único. As atribuições de cada função indicada neste artigo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devem ser descritas no PPC e atender aos regulamentos internos da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UTFPR.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9</w:t>
            </w:r>
            <w:r w:rsidRPr="007923C6">
              <w:rPr>
                <w:sz w:val="18"/>
                <w:szCs w:val="18"/>
              </w:rPr>
              <w:t>º.</w:t>
            </w:r>
            <w:r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§1º.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O corpo docente deve ser constituído, preferencialmente, por portadores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de diploma de pós-graduação Stricto Sensu.</w:t>
            </w:r>
          </w:p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 xml:space="preserve">§1º. </w:t>
            </w:r>
            <w:bookmarkStart w:id="0" w:name="_GoBack"/>
            <w:r w:rsidRPr="007108F9">
              <w:rPr>
                <w:b/>
                <w:sz w:val="18"/>
                <w:szCs w:val="18"/>
              </w:rPr>
              <w:t xml:space="preserve">No mínimo 30% (trinta por cento) </w:t>
            </w:r>
            <w:bookmarkEnd w:id="0"/>
            <w:r w:rsidRPr="007108F9">
              <w:rPr>
                <w:sz w:val="18"/>
                <w:szCs w:val="18"/>
              </w:rPr>
              <w:t>do corpo docente deve ser portador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de título obtido em programas de pós-graduação stricto-sensu devidamente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reconhecidos pelo poder público ou revalidados nos termos da legislação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vigente.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9</w:t>
            </w:r>
            <w:r w:rsidRPr="007923C6">
              <w:rPr>
                <w:sz w:val="18"/>
                <w:szCs w:val="18"/>
              </w:rPr>
              <w:t>º.</w:t>
            </w:r>
            <w:r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§2º.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 proporção de participantes internos e externos atuando como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docentes do curso deverá respeitar o disposto no §1º do Art. 11 do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presente regulamento e, naqueles casos em que o curso for realizado em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parceria com a Fundação (FUNTEF), o regulamento das relações entre a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UTFPR e a FUNTEF.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923C6">
              <w:rPr>
                <w:sz w:val="18"/>
                <w:szCs w:val="18"/>
              </w:rPr>
              <w:t xml:space="preserve">Art. </w:t>
            </w:r>
            <w:r>
              <w:rPr>
                <w:sz w:val="18"/>
                <w:szCs w:val="18"/>
              </w:rPr>
              <w:t>9</w:t>
            </w:r>
            <w:r w:rsidRPr="007923C6">
              <w:rPr>
                <w:sz w:val="18"/>
                <w:szCs w:val="18"/>
              </w:rPr>
              <w:t>º.</w:t>
            </w:r>
            <w:r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§3º.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Será permitida a participação de portadores de certificado de pós-graduação Lato Sensu ou de Graduação, com reconhecida capacidade técnico-profissional, desde que a pertinência de atuação no curso esteja devidamente fundamentada e documentada no Projeto Pedagógico de Curso.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CD7662" w:rsidRDefault="007108F9" w:rsidP="007108F9">
            <w:pPr>
              <w:pStyle w:val="Ttulo"/>
              <w:rPr>
                <w:sz w:val="16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10.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 xml:space="preserve">A carga horária de responsabilidade de um único docente não deve ultrapassar </w:t>
            </w:r>
            <w:r w:rsidRPr="007108F9">
              <w:rPr>
                <w:b/>
                <w:sz w:val="18"/>
                <w:szCs w:val="18"/>
              </w:rPr>
              <w:t>25% (vinte e cinco por cento)</w:t>
            </w:r>
            <w:r w:rsidRPr="007108F9">
              <w:rPr>
                <w:sz w:val="18"/>
                <w:szCs w:val="18"/>
              </w:rPr>
              <w:t xml:space="preserve"> da carga horária total do curso.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CD7662" w:rsidRDefault="007108F9" w:rsidP="007108F9">
            <w:pPr>
              <w:pStyle w:val="Ttulo"/>
              <w:rPr>
                <w:sz w:val="16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11. §1º.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 xml:space="preserve">No mínimo </w:t>
            </w:r>
            <w:r w:rsidRPr="007108F9">
              <w:rPr>
                <w:b/>
                <w:sz w:val="18"/>
                <w:szCs w:val="18"/>
              </w:rPr>
              <w:t>50% (cinquenta por cento)</w:t>
            </w:r>
            <w:r w:rsidRPr="007108F9">
              <w:rPr>
                <w:sz w:val="18"/>
                <w:szCs w:val="18"/>
              </w:rPr>
              <w:t xml:space="preserve"> da carga horária total do curso deve ser ministrada por servidores da UTFPR.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11. §2º.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Em casos excepcionais, devidamente justificados e aprovados pelo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COPPG, o curso poderá ter seu funcionamento autorizado com proporções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 xml:space="preserve">inferiores a indicada no §1º, observando o mínimo de </w:t>
            </w:r>
            <w:r w:rsidRPr="007108F9">
              <w:rPr>
                <w:b/>
                <w:sz w:val="18"/>
                <w:szCs w:val="18"/>
              </w:rPr>
              <w:t>1/3 (um terço) de</w:t>
            </w:r>
            <w:r w:rsidRPr="007108F9">
              <w:rPr>
                <w:b/>
                <w:sz w:val="18"/>
                <w:szCs w:val="18"/>
              </w:rPr>
              <w:t xml:space="preserve"> </w:t>
            </w:r>
            <w:r w:rsidRPr="007108F9">
              <w:rPr>
                <w:b/>
                <w:sz w:val="18"/>
                <w:szCs w:val="18"/>
              </w:rPr>
              <w:t>servidores da UTFPR</w:t>
            </w:r>
            <w:r w:rsidRPr="007108F9"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11. §</w:t>
            </w:r>
            <w:r w:rsidRPr="007108F9">
              <w:rPr>
                <w:sz w:val="18"/>
                <w:szCs w:val="18"/>
              </w:rPr>
              <w:t>3</w:t>
            </w:r>
            <w:r w:rsidRPr="007108F9">
              <w:rPr>
                <w:sz w:val="18"/>
                <w:szCs w:val="18"/>
              </w:rPr>
              <w:t>º.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No caso de ocorrência do previsto no §2º a comprovação da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reconhecida capacidade técnica e a pertinência de atuação dos profissionais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externos no curso devem estar devidamente fundamentadas e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documentadas no PPC.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  <w:tr w:rsidR="007108F9" w:rsidRPr="004039A6" w:rsidTr="007108F9"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7108F9" w:rsidRDefault="007108F9" w:rsidP="007108F9">
            <w:pPr>
              <w:pStyle w:val="Ttulo"/>
              <w:numPr>
                <w:ilvl w:val="0"/>
                <w:numId w:val="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Art. 13.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:rsidR="007108F9" w:rsidRPr="007108F9" w:rsidRDefault="007108F9" w:rsidP="007108F9">
            <w:pPr>
              <w:pStyle w:val="Ttulo"/>
              <w:jc w:val="both"/>
              <w:rPr>
                <w:sz w:val="18"/>
                <w:szCs w:val="18"/>
              </w:rPr>
            </w:pPr>
            <w:r w:rsidRPr="007108F9">
              <w:rPr>
                <w:sz w:val="18"/>
                <w:szCs w:val="18"/>
              </w:rPr>
              <w:t>Os cursos de pós-graduação Lato Sensu da UTFPR seguem calendário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 xml:space="preserve">próprio, não excedendo o </w:t>
            </w:r>
            <w:r w:rsidRPr="007108F9">
              <w:rPr>
                <w:b/>
                <w:sz w:val="18"/>
                <w:szCs w:val="18"/>
              </w:rPr>
              <w:t>prazo máximo de 30 (trinta) meses</w:t>
            </w:r>
            <w:r w:rsidRPr="007108F9">
              <w:rPr>
                <w:sz w:val="18"/>
                <w:szCs w:val="18"/>
              </w:rPr>
              <w:t>, incluindo a</w:t>
            </w:r>
            <w:r w:rsidRPr="007108F9">
              <w:rPr>
                <w:sz w:val="18"/>
                <w:szCs w:val="18"/>
              </w:rPr>
              <w:t xml:space="preserve"> </w:t>
            </w:r>
            <w:r w:rsidRPr="007108F9">
              <w:rPr>
                <w:sz w:val="18"/>
                <w:szCs w:val="18"/>
              </w:rPr>
              <w:t>entrega do relatório final.</w:t>
            </w:r>
          </w:p>
        </w:tc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7108F9" w:rsidRPr="004039A6" w:rsidRDefault="007108F9" w:rsidP="007108F9">
            <w:pPr>
              <w:pStyle w:val="Ttulo"/>
              <w:rPr>
                <w:sz w:val="20"/>
              </w:rPr>
            </w:pPr>
          </w:p>
        </w:tc>
      </w:tr>
    </w:tbl>
    <w:p w:rsidR="00017A4F" w:rsidRDefault="00017A4F" w:rsidP="00866E02">
      <w:pPr>
        <w:pStyle w:val="Ttulo"/>
        <w:jc w:val="both"/>
        <w:rPr>
          <w:sz w:val="22"/>
          <w:szCs w:val="22"/>
        </w:rPr>
      </w:pPr>
    </w:p>
    <w:p w:rsidR="00373988" w:rsidRDefault="00373988" w:rsidP="00866E02">
      <w:pPr>
        <w:pStyle w:val="Ttulo"/>
        <w:jc w:val="both"/>
        <w:rPr>
          <w:sz w:val="22"/>
          <w:szCs w:val="22"/>
        </w:rPr>
      </w:pPr>
    </w:p>
    <w:p w:rsidR="00373988" w:rsidRPr="00373988" w:rsidRDefault="00373988" w:rsidP="00866E02">
      <w:pPr>
        <w:pStyle w:val="Ttulo"/>
        <w:jc w:val="both"/>
        <w:rPr>
          <w:b/>
          <w:sz w:val="22"/>
          <w:szCs w:val="22"/>
        </w:rPr>
      </w:pPr>
      <w:r w:rsidRPr="00373988">
        <w:rPr>
          <w:b/>
          <w:sz w:val="22"/>
          <w:szCs w:val="22"/>
        </w:rPr>
        <w:t>Observações:</w:t>
      </w:r>
    </w:p>
    <w:p w:rsidR="00373988" w:rsidRDefault="00373988" w:rsidP="00866E02">
      <w:pPr>
        <w:pStyle w:val="Ttulo"/>
        <w:jc w:val="both"/>
        <w:rPr>
          <w:sz w:val="22"/>
          <w:szCs w:val="22"/>
        </w:rPr>
      </w:pPr>
    </w:p>
    <w:p w:rsidR="00373988" w:rsidRDefault="00373988" w:rsidP="00866E02">
      <w:pPr>
        <w:pStyle w:val="Ttulo"/>
        <w:jc w:val="both"/>
        <w:rPr>
          <w:sz w:val="22"/>
          <w:szCs w:val="22"/>
        </w:rPr>
      </w:pPr>
    </w:p>
    <w:p w:rsidR="00373988" w:rsidRDefault="00373988" w:rsidP="00866E02">
      <w:pPr>
        <w:pStyle w:val="Ttulo"/>
        <w:jc w:val="both"/>
        <w:rPr>
          <w:sz w:val="22"/>
          <w:szCs w:val="22"/>
        </w:rPr>
      </w:pPr>
    </w:p>
    <w:p w:rsidR="00373988" w:rsidRDefault="00373988" w:rsidP="00866E02">
      <w:pPr>
        <w:pStyle w:val="Ttulo"/>
        <w:jc w:val="both"/>
        <w:rPr>
          <w:sz w:val="22"/>
          <w:szCs w:val="22"/>
        </w:rPr>
      </w:pPr>
    </w:p>
    <w:sectPr w:rsidR="00373988" w:rsidSect="004039A6">
      <w:headerReference w:type="even" r:id="rId10"/>
      <w:footerReference w:type="even" r:id="rId11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38" w:rsidRDefault="00034538">
      <w:r>
        <w:separator/>
      </w:r>
    </w:p>
  </w:endnote>
  <w:endnote w:type="continuationSeparator" w:id="0">
    <w:p w:rsidR="00034538" w:rsidRDefault="0003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B8" w:rsidRDefault="008343B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43B8" w:rsidRDefault="008343B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38" w:rsidRDefault="00034538">
      <w:r>
        <w:separator/>
      </w:r>
    </w:p>
  </w:footnote>
  <w:footnote w:type="continuationSeparator" w:id="0">
    <w:p w:rsidR="00034538" w:rsidRDefault="0003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B8" w:rsidRDefault="008343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43B8" w:rsidRDefault="008343B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589"/>
    <w:multiLevelType w:val="hybridMultilevel"/>
    <w:tmpl w:val="C672B0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001E1"/>
    <w:multiLevelType w:val="hybridMultilevel"/>
    <w:tmpl w:val="83968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24076"/>
    <w:multiLevelType w:val="hybridMultilevel"/>
    <w:tmpl w:val="83968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D61C6"/>
    <w:multiLevelType w:val="hybridMultilevel"/>
    <w:tmpl w:val="5F968D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4F31"/>
    <w:multiLevelType w:val="hybridMultilevel"/>
    <w:tmpl w:val="83968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696F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6" w15:restartNumberingAfterBreak="0">
    <w:nsid w:val="591B2A55"/>
    <w:multiLevelType w:val="hybridMultilevel"/>
    <w:tmpl w:val="F6222358"/>
    <w:lvl w:ilvl="0" w:tplc="693449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8357B"/>
    <w:multiLevelType w:val="hybridMultilevel"/>
    <w:tmpl w:val="EE96A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A5C14"/>
    <w:multiLevelType w:val="hybridMultilevel"/>
    <w:tmpl w:val="6A083C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F3"/>
    <w:rsid w:val="00001BFA"/>
    <w:rsid w:val="000035C9"/>
    <w:rsid w:val="00006732"/>
    <w:rsid w:val="00013B8F"/>
    <w:rsid w:val="00017A4F"/>
    <w:rsid w:val="0002610A"/>
    <w:rsid w:val="00034538"/>
    <w:rsid w:val="000374F1"/>
    <w:rsid w:val="00044804"/>
    <w:rsid w:val="000518A2"/>
    <w:rsid w:val="0006210E"/>
    <w:rsid w:val="000638F3"/>
    <w:rsid w:val="000753F3"/>
    <w:rsid w:val="000762FC"/>
    <w:rsid w:val="00083A38"/>
    <w:rsid w:val="00086169"/>
    <w:rsid w:val="0009098C"/>
    <w:rsid w:val="00091FD3"/>
    <w:rsid w:val="000A44A0"/>
    <w:rsid w:val="000A57BE"/>
    <w:rsid w:val="000B00D0"/>
    <w:rsid w:val="000B5106"/>
    <w:rsid w:val="000C07CE"/>
    <w:rsid w:val="000C08E3"/>
    <w:rsid w:val="000D18E4"/>
    <w:rsid w:val="000E344D"/>
    <w:rsid w:val="000E4865"/>
    <w:rsid w:val="00102288"/>
    <w:rsid w:val="00111334"/>
    <w:rsid w:val="00113F77"/>
    <w:rsid w:val="0012026C"/>
    <w:rsid w:val="001209C5"/>
    <w:rsid w:val="00122E46"/>
    <w:rsid w:val="00135B12"/>
    <w:rsid w:val="0014532B"/>
    <w:rsid w:val="00145DD3"/>
    <w:rsid w:val="0014740D"/>
    <w:rsid w:val="001475E3"/>
    <w:rsid w:val="00150DD3"/>
    <w:rsid w:val="0015125E"/>
    <w:rsid w:val="0015176F"/>
    <w:rsid w:val="00163928"/>
    <w:rsid w:val="00171472"/>
    <w:rsid w:val="001741BF"/>
    <w:rsid w:val="0017763B"/>
    <w:rsid w:val="0018288E"/>
    <w:rsid w:val="001866EC"/>
    <w:rsid w:val="001878AF"/>
    <w:rsid w:val="001878E8"/>
    <w:rsid w:val="00192510"/>
    <w:rsid w:val="00192829"/>
    <w:rsid w:val="001961E5"/>
    <w:rsid w:val="001A76F3"/>
    <w:rsid w:val="001A7CDC"/>
    <w:rsid w:val="001B0AE9"/>
    <w:rsid w:val="001B239C"/>
    <w:rsid w:val="001D2CB3"/>
    <w:rsid w:val="001E556C"/>
    <w:rsid w:val="00200F35"/>
    <w:rsid w:val="00203B3A"/>
    <w:rsid w:val="00204C93"/>
    <w:rsid w:val="00207713"/>
    <w:rsid w:val="00211FB6"/>
    <w:rsid w:val="002220A9"/>
    <w:rsid w:val="002338D5"/>
    <w:rsid w:val="00237E88"/>
    <w:rsid w:val="0024511A"/>
    <w:rsid w:val="0025096A"/>
    <w:rsid w:val="00264CD3"/>
    <w:rsid w:val="002742D0"/>
    <w:rsid w:val="00275784"/>
    <w:rsid w:val="0028621C"/>
    <w:rsid w:val="00297622"/>
    <w:rsid w:val="002A39B2"/>
    <w:rsid w:val="002A4BBD"/>
    <w:rsid w:val="002C5292"/>
    <w:rsid w:val="002C73E2"/>
    <w:rsid w:val="002D0BA0"/>
    <w:rsid w:val="002D0C02"/>
    <w:rsid w:val="002D4DF8"/>
    <w:rsid w:val="002D77E0"/>
    <w:rsid w:val="002E21D3"/>
    <w:rsid w:val="002E53C0"/>
    <w:rsid w:val="002F23D1"/>
    <w:rsid w:val="002F7C76"/>
    <w:rsid w:val="00304949"/>
    <w:rsid w:val="00307154"/>
    <w:rsid w:val="00331848"/>
    <w:rsid w:val="00332CB6"/>
    <w:rsid w:val="00336C79"/>
    <w:rsid w:val="00336C85"/>
    <w:rsid w:val="00336FA9"/>
    <w:rsid w:val="00337DCE"/>
    <w:rsid w:val="00341F3A"/>
    <w:rsid w:val="003439C3"/>
    <w:rsid w:val="00347895"/>
    <w:rsid w:val="00352A49"/>
    <w:rsid w:val="00355D77"/>
    <w:rsid w:val="00360C4A"/>
    <w:rsid w:val="0036489D"/>
    <w:rsid w:val="00364DD6"/>
    <w:rsid w:val="003667FA"/>
    <w:rsid w:val="00373988"/>
    <w:rsid w:val="00374EAA"/>
    <w:rsid w:val="00380DF1"/>
    <w:rsid w:val="003917F2"/>
    <w:rsid w:val="003B3B0F"/>
    <w:rsid w:val="003B7F58"/>
    <w:rsid w:val="003C69D2"/>
    <w:rsid w:val="003C6DBE"/>
    <w:rsid w:val="003D2B35"/>
    <w:rsid w:val="003D33DF"/>
    <w:rsid w:val="003E7955"/>
    <w:rsid w:val="003F4BBC"/>
    <w:rsid w:val="004018B6"/>
    <w:rsid w:val="00401B3E"/>
    <w:rsid w:val="0040312D"/>
    <w:rsid w:val="004039A6"/>
    <w:rsid w:val="0041180E"/>
    <w:rsid w:val="0043072D"/>
    <w:rsid w:val="00431422"/>
    <w:rsid w:val="004560C3"/>
    <w:rsid w:val="004577DE"/>
    <w:rsid w:val="00461F6F"/>
    <w:rsid w:val="00462ABA"/>
    <w:rsid w:val="004646EC"/>
    <w:rsid w:val="00470E8D"/>
    <w:rsid w:val="00476035"/>
    <w:rsid w:val="00476683"/>
    <w:rsid w:val="0048170A"/>
    <w:rsid w:val="00486276"/>
    <w:rsid w:val="00491FE6"/>
    <w:rsid w:val="0049247A"/>
    <w:rsid w:val="0049577D"/>
    <w:rsid w:val="004A0172"/>
    <w:rsid w:val="004A360B"/>
    <w:rsid w:val="004B0FCD"/>
    <w:rsid w:val="004B7783"/>
    <w:rsid w:val="004C2A11"/>
    <w:rsid w:val="004C6AF5"/>
    <w:rsid w:val="004C7A77"/>
    <w:rsid w:val="004D0D03"/>
    <w:rsid w:val="004D1757"/>
    <w:rsid w:val="004D2783"/>
    <w:rsid w:val="004E2FD8"/>
    <w:rsid w:val="004E4312"/>
    <w:rsid w:val="004F3CBC"/>
    <w:rsid w:val="004F3DDE"/>
    <w:rsid w:val="004F541D"/>
    <w:rsid w:val="004F6DCF"/>
    <w:rsid w:val="005003C8"/>
    <w:rsid w:val="005004C3"/>
    <w:rsid w:val="00505A54"/>
    <w:rsid w:val="00524C63"/>
    <w:rsid w:val="00531424"/>
    <w:rsid w:val="00546B40"/>
    <w:rsid w:val="005518D8"/>
    <w:rsid w:val="00552FF9"/>
    <w:rsid w:val="00555FDB"/>
    <w:rsid w:val="0055729A"/>
    <w:rsid w:val="00562070"/>
    <w:rsid w:val="00567FE8"/>
    <w:rsid w:val="0057141C"/>
    <w:rsid w:val="00571EE9"/>
    <w:rsid w:val="005740AD"/>
    <w:rsid w:val="00583352"/>
    <w:rsid w:val="005845B3"/>
    <w:rsid w:val="005871B4"/>
    <w:rsid w:val="00593D3E"/>
    <w:rsid w:val="005A6624"/>
    <w:rsid w:val="005C6959"/>
    <w:rsid w:val="005C75BB"/>
    <w:rsid w:val="005D0310"/>
    <w:rsid w:val="005D1873"/>
    <w:rsid w:val="005E066F"/>
    <w:rsid w:val="00603175"/>
    <w:rsid w:val="00606068"/>
    <w:rsid w:val="006210B3"/>
    <w:rsid w:val="00625439"/>
    <w:rsid w:val="0062604A"/>
    <w:rsid w:val="00650C92"/>
    <w:rsid w:val="00651F92"/>
    <w:rsid w:val="00667F0C"/>
    <w:rsid w:val="00673C94"/>
    <w:rsid w:val="00683D5F"/>
    <w:rsid w:val="0068446A"/>
    <w:rsid w:val="00686869"/>
    <w:rsid w:val="006A29A9"/>
    <w:rsid w:val="006A3C04"/>
    <w:rsid w:val="006A6043"/>
    <w:rsid w:val="006B4481"/>
    <w:rsid w:val="006C10C9"/>
    <w:rsid w:val="006C3475"/>
    <w:rsid w:val="006C5CF3"/>
    <w:rsid w:val="006E4E57"/>
    <w:rsid w:val="006E7E45"/>
    <w:rsid w:val="006F2256"/>
    <w:rsid w:val="006F3672"/>
    <w:rsid w:val="0070016C"/>
    <w:rsid w:val="007041CB"/>
    <w:rsid w:val="007102DE"/>
    <w:rsid w:val="007108F9"/>
    <w:rsid w:val="00712642"/>
    <w:rsid w:val="00723834"/>
    <w:rsid w:val="00725CE2"/>
    <w:rsid w:val="007273EF"/>
    <w:rsid w:val="00743A97"/>
    <w:rsid w:val="0076123D"/>
    <w:rsid w:val="00761F02"/>
    <w:rsid w:val="00771D43"/>
    <w:rsid w:val="00773805"/>
    <w:rsid w:val="007779BB"/>
    <w:rsid w:val="00781BD2"/>
    <w:rsid w:val="0078237F"/>
    <w:rsid w:val="007923C6"/>
    <w:rsid w:val="0079428D"/>
    <w:rsid w:val="00794EE8"/>
    <w:rsid w:val="00797B03"/>
    <w:rsid w:val="007C450B"/>
    <w:rsid w:val="007C4B66"/>
    <w:rsid w:val="007D0ADA"/>
    <w:rsid w:val="007E090B"/>
    <w:rsid w:val="007E1AA9"/>
    <w:rsid w:val="007E47A6"/>
    <w:rsid w:val="007E7347"/>
    <w:rsid w:val="00807408"/>
    <w:rsid w:val="0081425E"/>
    <w:rsid w:val="008200D2"/>
    <w:rsid w:val="00820235"/>
    <w:rsid w:val="00821305"/>
    <w:rsid w:val="0082247C"/>
    <w:rsid w:val="008267C0"/>
    <w:rsid w:val="00826EBD"/>
    <w:rsid w:val="008320F9"/>
    <w:rsid w:val="008326B4"/>
    <w:rsid w:val="008343B8"/>
    <w:rsid w:val="00834439"/>
    <w:rsid w:val="008403DB"/>
    <w:rsid w:val="00843E23"/>
    <w:rsid w:val="00844688"/>
    <w:rsid w:val="00856A81"/>
    <w:rsid w:val="00866C84"/>
    <w:rsid w:val="00866E02"/>
    <w:rsid w:val="008777A0"/>
    <w:rsid w:val="00881487"/>
    <w:rsid w:val="008854A4"/>
    <w:rsid w:val="00886FA0"/>
    <w:rsid w:val="008A0468"/>
    <w:rsid w:val="008A628B"/>
    <w:rsid w:val="008C1F4A"/>
    <w:rsid w:val="008C6C81"/>
    <w:rsid w:val="008E33C2"/>
    <w:rsid w:val="008E3523"/>
    <w:rsid w:val="008E69E6"/>
    <w:rsid w:val="00900E2F"/>
    <w:rsid w:val="00902C82"/>
    <w:rsid w:val="00907ED0"/>
    <w:rsid w:val="009208EC"/>
    <w:rsid w:val="00925B46"/>
    <w:rsid w:val="00943C1D"/>
    <w:rsid w:val="00944893"/>
    <w:rsid w:val="00950DE0"/>
    <w:rsid w:val="009543D7"/>
    <w:rsid w:val="00956018"/>
    <w:rsid w:val="0095736C"/>
    <w:rsid w:val="009623F7"/>
    <w:rsid w:val="0097693A"/>
    <w:rsid w:val="009779E3"/>
    <w:rsid w:val="009919B6"/>
    <w:rsid w:val="00991BC6"/>
    <w:rsid w:val="00992DA4"/>
    <w:rsid w:val="00992E1C"/>
    <w:rsid w:val="00993B77"/>
    <w:rsid w:val="009960B1"/>
    <w:rsid w:val="0099659D"/>
    <w:rsid w:val="009B12DA"/>
    <w:rsid w:val="009B223A"/>
    <w:rsid w:val="009B3CE0"/>
    <w:rsid w:val="009B42B0"/>
    <w:rsid w:val="009B5585"/>
    <w:rsid w:val="009C03D7"/>
    <w:rsid w:val="009C3687"/>
    <w:rsid w:val="009C3D02"/>
    <w:rsid w:val="009C4B06"/>
    <w:rsid w:val="009D2066"/>
    <w:rsid w:val="009D2243"/>
    <w:rsid w:val="009D547A"/>
    <w:rsid w:val="009E1582"/>
    <w:rsid w:val="009E1B48"/>
    <w:rsid w:val="009E26B0"/>
    <w:rsid w:val="009E26C4"/>
    <w:rsid w:val="009F4796"/>
    <w:rsid w:val="009F6E85"/>
    <w:rsid w:val="00A000D0"/>
    <w:rsid w:val="00A217C5"/>
    <w:rsid w:val="00A23722"/>
    <w:rsid w:val="00A31DB0"/>
    <w:rsid w:val="00A54C04"/>
    <w:rsid w:val="00A55368"/>
    <w:rsid w:val="00A72261"/>
    <w:rsid w:val="00A72DD5"/>
    <w:rsid w:val="00A85F4F"/>
    <w:rsid w:val="00A86E74"/>
    <w:rsid w:val="00A909A9"/>
    <w:rsid w:val="00A90B9A"/>
    <w:rsid w:val="00A939C3"/>
    <w:rsid w:val="00A93AD0"/>
    <w:rsid w:val="00A95860"/>
    <w:rsid w:val="00AB0BCB"/>
    <w:rsid w:val="00AB6C54"/>
    <w:rsid w:val="00AB7A94"/>
    <w:rsid w:val="00AD7E32"/>
    <w:rsid w:val="00AF1FFC"/>
    <w:rsid w:val="00AF6BCC"/>
    <w:rsid w:val="00B111A4"/>
    <w:rsid w:val="00B14211"/>
    <w:rsid w:val="00B2563E"/>
    <w:rsid w:val="00B26769"/>
    <w:rsid w:val="00B33860"/>
    <w:rsid w:val="00B34E23"/>
    <w:rsid w:val="00B428C1"/>
    <w:rsid w:val="00B5012D"/>
    <w:rsid w:val="00B62329"/>
    <w:rsid w:val="00B702D7"/>
    <w:rsid w:val="00B70552"/>
    <w:rsid w:val="00B71682"/>
    <w:rsid w:val="00B72083"/>
    <w:rsid w:val="00B73D4D"/>
    <w:rsid w:val="00B83330"/>
    <w:rsid w:val="00B84430"/>
    <w:rsid w:val="00B923C0"/>
    <w:rsid w:val="00B95890"/>
    <w:rsid w:val="00BA51A8"/>
    <w:rsid w:val="00BA5902"/>
    <w:rsid w:val="00BB3A66"/>
    <w:rsid w:val="00BB3AC6"/>
    <w:rsid w:val="00BC0291"/>
    <w:rsid w:val="00BC187A"/>
    <w:rsid w:val="00BC413D"/>
    <w:rsid w:val="00BC41CC"/>
    <w:rsid w:val="00BD61A2"/>
    <w:rsid w:val="00BE51F2"/>
    <w:rsid w:val="00BE5B09"/>
    <w:rsid w:val="00BF0F6F"/>
    <w:rsid w:val="00BF3310"/>
    <w:rsid w:val="00BF63C9"/>
    <w:rsid w:val="00C02D6E"/>
    <w:rsid w:val="00C12A83"/>
    <w:rsid w:val="00C134D5"/>
    <w:rsid w:val="00C20951"/>
    <w:rsid w:val="00C25F27"/>
    <w:rsid w:val="00C37E3A"/>
    <w:rsid w:val="00C426E0"/>
    <w:rsid w:val="00C604C4"/>
    <w:rsid w:val="00C87760"/>
    <w:rsid w:val="00C87973"/>
    <w:rsid w:val="00C90312"/>
    <w:rsid w:val="00C92546"/>
    <w:rsid w:val="00C93F2B"/>
    <w:rsid w:val="00CA113C"/>
    <w:rsid w:val="00CA1181"/>
    <w:rsid w:val="00CA16D1"/>
    <w:rsid w:val="00CA2A0C"/>
    <w:rsid w:val="00CA5FE1"/>
    <w:rsid w:val="00CC182F"/>
    <w:rsid w:val="00CC534F"/>
    <w:rsid w:val="00CD282C"/>
    <w:rsid w:val="00CD572B"/>
    <w:rsid w:val="00CD7662"/>
    <w:rsid w:val="00CE4305"/>
    <w:rsid w:val="00CE598D"/>
    <w:rsid w:val="00CF203C"/>
    <w:rsid w:val="00D018C4"/>
    <w:rsid w:val="00D1009A"/>
    <w:rsid w:val="00D1792F"/>
    <w:rsid w:val="00D227A8"/>
    <w:rsid w:val="00D258F2"/>
    <w:rsid w:val="00D311B3"/>
    <w:rsid w:val="00D602EE"/>
    <w:rsid w:val="00D63F70"/>
    <w:rsid w:val="00D66709"/>
    <w:rsid w:val="00D73F26"/>
    <w:rsid w:val="00D758D5"/>
    <w:rsid w:val="00D80C37"/>
    <w:rsid w:val="00D906BF"/>
    <w:rsid w:val="00DA60B5"/>
    <w:rsid w:val="00DB1BEC"/>
    <w:rsid w:val="00DB61D4"/>
    <w:rsid w:val="00DB740C"/>
    <w:rsid w:val="00DC22F6"/>
    <w:rsid w:val="00DC3A1D"/>
    <w:rsid w:val="00DD3620"/>
    <w:rsid w:val="00DD3F65"/>
    <w:rsid w:val="00DD4402"/>
    <w:rsid w:val="00DD5105"/>
    <w:rsid w:val="00DD73D6"/>
    <w:rsid w:val="00DF2CC9"/>
    <w:rsid w:val="00DF37D9"/>
    <w:rsid w:val="00E02176"/>
    <w:rsid w:val="00E11A45"/>
    <w:rsid w:val="00E11D5B"/>
    <w:rsid w:val="00E1237B"/>
    <w:rsid w:val="00E20146"/>
    <w:rsid w:val="00E20816"/>
    <w:rsid w:val="00E25A7D"/>
    <w:rsid w:val="00E33A97"/>
    <w:rsid w:val="00E454B3"/>
    <w:rsid w:val="00E47A62"/>
    <w:rsid w:val="00E55405"/>
    <w:rsid w:val="00E55FF5"/>
    <w:rsid w:val="00E56874"/>
    <w:rsid w:val="00E6323F"/>
    <w:rsid w:val="00E737F7"/>
    <w:rsid w:val="00E75143"/>
    <w:rsid w:val="00E75394"/>
    <w:rsid w:val="00E82959"/>
    <w:rsid w:val="00E87027"/>
    <w:rsid w:val="00E9579F"/>
    <w:rsid w:val="00EA1CAE"/>
    <w:rsid w:val="00EA2890"/>
    <w:rsid w:val="00EA3AC3"/>
    <w:rsid w:val="00EA3F52"/>
    <w:rsid w:val="00EB28C0"/>
    <w:rsid w:val="00EC1D67"/>
    <w:rsid w:val="00EC2CF5"/>
    <w:rsid w:val="00ED4873"/>
    <w:rsid w:val="00ED49EC"/>
    <w:rsid w:val="00ED6C70"/>
    <w:rsid w:val="00EE377D"/>
    <w:rsid w:val="00EF107D"/>
    <w:rsid w:val="00EF4504"/>
    <w:rsid w:val="00F04AB6"/>
    <w:rsid w:val="00F159E9"/>
    <w:rsid w:val="00F26E65"/>
    <w:rsid w:val="00F40CE9"/>
    <w:rsid w:val="00F40EB3"/>
    <w:rsid w:val="00F40F84"/>
    <w:rsid w:val="00F62015"/>
    <w:rsid w:val="00F63011"/>
    <w:rsid w:val="00F63E11"/>
    <w:rsid w:val="00F6743A"/>
    <w:rsid w:val="00F74744"/>
    <w:rsid w:val="00F7652B"/>
    <w:rsid w:val="00F77098"/>
    <w:rsid w:val="00F776BC"/>
    <w:rsid w:val="00F87C35"/>
    <w:rsid w:val="00FA27A0"/>
    <w:rsid w:val="00FA2C45"/>
    <w:rsid w:val="00FA4B9E"/>
    <w:rsid w:val="00FD7C79"/>
    <w:rsid w:val="00FE2642"/>
    <w:rsid w:val="00FE3735"/>
    <w:rsid w:val="00FE56D0"/>
    <w:rsid w:val="00FE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E06FB-C282-4586-B99F-38BF8F6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6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F0F6F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046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4C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8A046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F0F6F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A046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A046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BF0F6F"/>
    <w:pPr>
      <w:keepNext/>
      <w:numPr>
        <w:ilvl w:val="7"/>
        <w:numId w:val="1"/>
      </w:numPr>
      <w:spacing w:before="40" w:after="40"/>
      <w:jc w:val="center"/>
      <w:outlineLvl w:val="7"/>
    </w:pPr>
    <w:rPr>
      <w:rFonts w:ascii="Arial" w:hAnsi="Arial" w:cs="Arial"/>
      <w:b/>
      <w:sz w:val="20"/>
    </w:rPr>
  </w:style>
  <w:style w:type="paragraph" w:styleId="Ttulo9">
    <w:name w:val="heading 9"/>
    <w:basedOn w:val="Normal"/>
    <w:next w:val="Normal"/>
    <w:link w:val="Ttulo9Char"/>
    <w:qFormat/>
    <w:rsid w:val="00BF0F6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Arial" w:hAnsi="Arial" w:cs="Arial"/>
      <w:b/>
      <w:color w:val="FF0000"/>
      <w:sz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F0F6F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locked/>
    <w:rsid w:val="00BF0F6F"/>
    <w:rPr>
      <w:rFonts w:ascii="Arial" w:hAnsi="Arial" w:cs="Arial"/>
      <w:b/>
      <w:sz w:val="22"/>
      <w:szCs w:val="24"/>
    </w:rPr>
  </w:style>
  <w:style w:type="character" w:customStyle="1" w:styleId="Ttulo8Char">
    <w:name w:val="Título 8 Char"/>
    <w:basedOn w:val="Fontepargpadro"/>
    <w:link w:val="Ttulo8"/>
    <w:locked/>
    <w:rsid w:val="00BF0F6F"/>
    <w:rPr>
      <w:rFonts w:ascii="Arial" w:hAnsi="Arial" w:cs="Arial"/>
      <w:b/>
      <w:szCs w:val="24"/>
    </w:rPr>
  </w:style>
  <w:style w:type="character" w:customStyle="1" w:styleId="Ttulo9Char">
    <w:name w:val="Título 9 Char"/>
    <w:basedOn w:val="Fontepargpadro"/>
    <w:link w:val="Ttulo9"/>
    <w:locked/>
    <w:rsid w:val="00BF0F6F"/>
    <w:rPr>
      <w:rFonts w:ascii="Arial" w:hAnsi="Arial" w:cs="Arial"/>
      <w:b/>
      <w:color w:val="FF0000"/>
      <w:szCs w:val="24"/>
      <w:lang w:val="es-ES_tradnl"/>
    </w:rPr>
  </w:style>
  <w:style w:type="paragraph" w:styleId="Corpodetexto2">
    <w:name w:val="Body Text 2"/>
    <w:basedOn w:val="Normal"/>
    <w:link w:val="Corpodetexto2Char"/>
    <w:rsid w:val="00BF0F6F"/>
    <w:pPr>
      <w:spacing w:before="120"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BF0F6F"/>
    <w:rPr>
      <w:sz w:val="24"/>
      <w:lang w:val="pt-BR" w:eastAsia="pt-BR" w:bidi="ar-SA"/>
    </w:rPr>
  </w:style>
  <w:style w:type="paragraph" w:customStyle="1" w:styleId="DT3NSub-DarioDergint">
    <w:name w:val="DT 3NSub - Dario Dergint"/>
    <w:basedOn w:val="Normal"/>
    <w:next w:val="Normal"/>
    <w:rsid w:val="00BF0F6F"/>
    <w:pPr>
      <w:keepNext/>
      <w:keepLines/>
      <w:spacing w:before="240"/>
      <w:jc w:val="both"/>
      <w:outlineLvl w:val="2"/>
    </w:pPr>
    <w:rPr>
      <w:b/>
      <w:kern w:val="28"/>
      <w:szCs w:val="20"/>
    </w:rPr>
  </w:style>
  <w:style w:type="paragraph" w:styleId="Cabealho">
    <w:name w:val="header"/>
    <w:basedOn w:val="Normal"/>
    <w:link w:val="CabealhoChar"/>
    <w:rsid w:val="00BF0F6F"/>
    <w:pPr>
      <w:tabs>
        <w:tab w:val="center" w:pos="4252"/>
        <w:tab w:val="right" w:pos="8504"/>
      </w:tabs>
    </w:pPr>
    <w:rPr>
      <w:rFonts w:ascii="MS Serif" w:hAnsi="MS Serif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locked/>
    <w:rsid w:val="00BF0F6F"/>
    <w:rPr>
      <w:rFonts w:ascii="MS Serif" w:hAnsi="MS Serif"/>
      <w:lang w:val="pt-BR" w:eastAsia="pt-BR" w:bidi="ar-SA"/>
    </w:rPr>
  </w:style>
  <w:style w:type="paragraph" w:styleId="NormalWeb">
    <w:name w:val="Normal (Web)"/>
    <w:basedOn w:val="Normal"/>
    <w:rsid w:val="00BF0F6F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BF0F6F"/>
    <w:rPr>
      <w:rFonts w:cs="Times New Roman"/>
      <w:b/>
      <w:bCs/>
    </w:rPr>
  </w:style>
  <w:style w:type="character" w:customStyle="1" w:styleId="spelle">
    <w:name w:val="spelle"/>
    <w:basedOn w:val="Fontepargpadro"/>
    <w:rsid w:val="00BF0F6F"/>
    <w:rPr>
      <w:rFonts w:cs="Times New Roman"/>
    </w:rPr>
  </w:style>
  <w:style w:type="character" w:customStyle="1" w:styleId="grame">
    <w:name w:val="grame"/>
    <w:basedOn w:val="Fontepargpadro"/>
    <w:rsid w:val="00BF0F6F"/>
    <w:rPr>
      <w:rFonts w:cs="Times New Roman"/>
    </w:rPr>
  </w:style>
  <w:style w:type="paragraph" w:styleId="Corpodetexto3">
    <w:name w:val="Body Text 3"/>
    <w:basedOn w:val="Normal"/>
    <w:link w:val="Corpodetexto3Char"/>
    <w:rsid w:val="00BF0F6F"/>
    <w:rPr>
      <w:rFonts w:ascii="Helvetica" w:hAnsi="Helvetica"/>
      <w:color w:val="00008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BF0F6F"/>
    <w:rPr>
      <w:rFonts w:ascii="Helvetica" w:hAnsi="Helvetica"/>
      <w:color w:val="000080"/>
      <w:sz w:val="24"/>
      <w:lang w:val="pt-BR" w:eastAsia="pt-BR" w:bidi="ar-SA"/>
    </w:rPr>
  </w:style>
  <w:style w:type="paragraph" w:customStyle="1" w:styleId="DC1AlinharDarioDergint">
    <w:name w:val="DC 1Alinhar – Dario Dergint"/>
    <w:basedOn w:val="Normal"/>
    <w:rsid w:val="00BF0F6F"/>
    <w:pPr>
      <w:tabs>
        <w:tab w:val="left" w:pos="1134"/>
        <w:tab w:val="right" w:leader="underscore" w:pos="9072"/>
      </w:tabs>
      <w:ind w:left="709"/>
      <w:jc w:val="both"/>
    </w:pPr>
    <w:rPr>
      <w:szCs w:val="20"/>
    </w:rPr>
  </w:style>
  <w:style w:type="paragraph" w:customStyle="1" w:styleId="DCxTextoDarioDergint">
    <w:name w:val="DC xTexto – Dario Dergint"/>
    <w:basedOn w:val="Normal"/>
    <w:rsid w:val="00BF0F6F"/>
    <w:pPr>
      <w:tabs>
        <w:tab w:val="left" w:pos="1134"/>
        <w:tab w:val="right" w:leader="underscore" w:pos="9072"/>
      </w:tabs>
      <w:spacing w:before="120"/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BF0F6F"/>
    <w:pPr>
      <w:ind w:firstLine="709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BF0F6F"/>
    <w:rPr>
      <w:rFonts w:ascii="Arial" w:hAnsi="Arial"/>
      <w:sz w:val="24"/>
      <w:lang w:val="pt-BR" w:eastAsia="pt-BR" w:bidi="ar-SA"/>
    </w:rPr>
  </w:style>
  <w:style w:type="paragraph" w:customStyle="1" w:styleId="preenchimento">
    <w:name w:val="preenchimento"/>
    <w:basedOn w:val="Normal"/>
    <w:rsid w:val="00BF0F6F"/>
    <w:pPr>
      <w:spacing w:before="120" w:line="360" w:lineRule="auto"/>
      <w:jc w:val="both"/>
    </w:pPr>
    <w:rPr>
      <w:rFonts w:ascii="Arial" w:hAnsi="Arial"/>
      <w:sz w:val="20"/>
      <w:szCs w:val="20"/>
      <w:vertAlign w:val="superscript"/>
    </w:rPr>
  </w:style>
  <w:style w:type="paragraph" w:customStyle="1" w:styleId="xl24">
    <w:name w:val="xl24"/>
    <w:basedOn w:val="Normal"/>
    <w:rsid w:val="00BF0F6F"/>
    <w:pPr>
      <w:spacing w:before="100" w:beforeAutospacing="1" w:after="100" w:afterAutospacing="1"/>
      <w:jc w:val="center"/>
    </w:pPr>
  </w:style>
  <w:style w:type="paragraph" w:styleId="Rodap">
    <w:name w:val="footer"/>
    <w:basedOn w:val="Normal"/>
    <w:link w:val="RodapChar"/>
    <w:uiPriority w:val="99"/>
    <w:rsid w:val="00BF0F6F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BF0F6F"/>
    <w:rPr>
      <w:rFonts w:ascii="Arial" w:hAnsi="Arial"/>
      <w:sz w:val="24"/>
      <w:lang w:val="pt-BR" w:eastAsia="pt-BR" w:bidi="ar-SA"/>
    </w:rPr>
  </w:style>
  <w:style w:type="character" w:styleId="Nmerodepgina">
    <w:name w:val="page number"/>
    <w:basedOn w:val="Fontepargpadro"/>
    <w:rsid w:val="00BF0F6F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BF0F6F"/>
    <w:pPr>
      <w:ind w:firstLine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BF0F6F"/>
    <w:rPr>
      <w:rFonts w:ascii="Arial" w:hAnsi="Arial" w:cs="Arial"/>
      <w:sz w:val="22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F0F6F"/>
    <w:pPr>
      <w:spacing w:line="360" w:lineRule="auto"/>
      <w:ind w:left="709" w:firstLine="705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BF0F6F"/>
    <w:rPr>
      <w:rFonts w:ascii="Arial" w:hAnsi="Arial" w:cs="Arial"/>
      <w:sz w:val="22"/>
      <w:szCs w:val="24"/>
      <w:lang w:val="pt-BR" w:eastAsia="pt-BR" w:bidi="ar-SA"/>
    </w:rPr>
  </w:style>
  <w:style w:type="character" w:customStyle="1" w:styleId="DLIngDarioDergint">
    <w:name w:val="DL Ing – Dario Dergint"/>
    <w:basedOn w:val="Fontepargpadro"/>
    <w:rsid w:val="00BF0F6F"/>
    <w:rPr>
      <w:rFonts w:cs="Times New Roman"/>
      <w:i/>
      <w:lang w:val="en-US"/>
    </w:rPr>
  </w:style>
  <w:style w:type="paragraph" w:styleId="Ttulo">
    <w:name w:val="Title"/>
    <w:basedOn w:val="Normal"/>
    <w:link w:val="TtuloChar"/>
    <w:qFormat/>
    <w:rsid w:val="00BF0F6F"/>
    <w:pPr>
      <w:autoSpaceDE w:val="0"/>
      <w:autoSpaceDN w:val="0"/>
      <w:adjustRightInd w:val="0"/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locked/>
    <w:rsid w:val="00BF0F6F"/>
    <w:rPr>
      <w:sz w:val="26"/>
      <w:lang w:val="pt-BR" w:eastAsia="pt-BR" w:bidi="ar-SA"/>
    </w:rPr>
  </w:style>
  <w:style w:type="paragraph" w:customStyle="1" w:styleId="TituloDissertacao">
    <w:name w:val="Titulo Dissertacao"/>
    <w:basedOn w:val="Corpodetexto"/>
    <w:rsid w:val="00BF0F6F"/>
    <w:pPr>
      <w:autoSpaceDE w:val="0"/>
      <w:autoSpaceDN w:val="0"/>
      <w:adjustRightInd w:val="0"/>
      <w:spacing w:before="5040" w:after="0" w:line="360" w:lineRule="auto"/>
      <w:jc w:val="center"/>
    </w:pPr>
    <w:rPr>
      <w:b/>
      <w:szCs w:val="20"/>
    </w:rPr>
  </w:style>
  <w:style w:type="paragraph" w:styleId="Corpodetexto">
    <w:name w:val="Body Text"/>
    <w:basedOn w:val="Normal"/>
    <w:rsid w:val="00BF0F6F"/>
    <w:pPr>
      <w:spacing w:after="120"/>
    </w:pPr>
  </w:style>
  <w:style w:type="character" w:styleId="nfase">
    <w:name w:val="Emphasis"/>
    <w:basedOn w:val="Fontepargpadro"/>
    <w:uiPriority w:val="20"/>
    <w:qFormat/>
    <w:rsid w:val="00524C63"/>
    <w:rPr>
      <w:rFonts w:cs="Times New Roman"/>
      <w:i/>
      <w:iCs/>
    </w:rPr>
  </w:style>
  <w:style w:type="table" w:styleId="Tabelacomgrade">
    <w:name w:val="Table Grid"/>
    <w:basedOn w:val="Tabelanormal"/>
    <w:rsid w:val="00524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60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60C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571EE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8A0468"/>
    <w:rPr>
      <w:rFonts w:ascii="Cambria" w:hAnsi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A0468"/>
    <w:rPr>
      <w:rFonts w:ascii="Calibri" w:hAnsi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semiHidden/>
    <w:rsid w:val="008A0468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8A0468"/>
    <w:rPr>
      <w:rFonts w:ascii="Calibri" w:hAnsi="Calibr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73D4D"/>
    <w:rPr>
      <w:color w:val="808080"/>
    </w:rPr>
  </w:style>
  <w:style w:type="paragraph" w:styleId="MapadoDocumento">
    <w:name w:val="Document Map"/>
    <w:basedOn w:val="Normal"/>
    <w:link w:val="MapadoDocumentoChar"/>
    <w:rsid w:val="00F04AB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F04AB6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428C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B26769"/>
    <w:pPr>
      <w:tabs>
        <w:tab w:val="left" w:pos="567"/>
        <w:tab w:val="right" w:leader="dot" w:pos="8495"/>
      </w:tabs>
      <w:spacing w:after="100"/>
    </w:pPr>
  </w:style>
  <w:style w:type="character" w:styleId="HiperlinkVisitado">
    <w:name w:val="FollowedHyperlink"/>
    <w:basedOn w:val="Fontepargpadro"/>
    <w:rsid w:val="009D547A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C9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A7EA-A742-4C40-BF78-24556CA4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997</Words>
  <Characters>5385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Apresentação do curso</vt:lpstr>
      <vt:lpstr>Matriz</vt:lpstr>
      <vt:lpstr>Cronograma de realização</vt:lpstr>
      <vt:lpstr/>
      <vt:lpstr>Datas de início e término das atividades</vt:lpstr>
      <vt:lpstr>Início das atividades letivas: &lt;Click here to enter a date.&gt;</vt:lpstr>
      <vt:lpstr>Término das disciplinas: &lt;Click here to enter a date.&gt;</vt:lpstr>
      <vt:lpstr/>
      <vt:lpstr>Anexos</vt:lpstr>
      <vt:lpstr/>
    </vt:vector>
  </TitlesOfParts>
  <Company>Microsoft</Company>
  <LinksUpToDate>false</LinksUpToDate>
  <CharactersWithSpaces>6370</CharactersWithSpaces>
  <SharedDoc>false</SharedDoc>
  <HLinks>
    <vt:vector size="60" baseType="variant">
      <vt:variant>
        <vt:i4>1507378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_Toc316030413</vt:lpwstr>
      </vt:variant>
      <vt:variant>
        <vt:i4>1507378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_Toc316030412</vt:lpwstr>
      </vt:variant>
      <vt:variant>
        <vt:i4>1507378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_Toc316030411</vt:lpwstr>
      </vt:variant>
      <vt:variant>
        <vt:i4>1507378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_Toc316030410</vt:lpwstr>
      </vt:variant>
      <vt:variant>
        <vt:i4>1441842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_Toc316030409</vt:lpwstr>
      </vt:variant>
      <vt:variant>
        <vt:i4>1441842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_Toc316030408</vt:lpwstr>
      </vt:variant>
      <vt:variant>
        <vt:i4>1441842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_Toc316030407</vt:lpwstr>
      </vt:variant>
      <vt:variant>
        <vt:i4>1441842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_Toc316030406</vt:lpwstr>
      </vt:variant>
      <vt:variant>
        <vt:i4>1441842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_Toc316030405</vt:lpwstr>
      </vt:variant>
      <vt:variant>
        <vt:i4>7012479</vt:i4>
      </vt:variant>
      <vt:variant>
        <vt:i4>20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reginaldojf</dc:creator>
  <cp:lastModifiedBy>DIRPPG</cp:lastModifiedBy>
  <cp:revision>2</cp:revision>
  <cp:lastPrinted>2010-09-29T21:57:00Z</cp:lastPrinted>
  <dcterms:created xsi:type="dcterms:W3CDTF">2019-12-02T19:27:00Z</dcterms:created>
  <dcterms:modified xsi:type="dcterms:W3CDTF">2019-12-02T19:27:00Z</dcterms:modified>
</cp:coreProperties>
</file>